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DISEÑO SECUENCIA DIDÁCTICA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4.0" w:type="dxa"/>
        <w:jc w:val="left"/>
        <w:tblInd w:w="0.0" w:type="dxa"/>
        <w:tblLayout w:type="fixed"/>
        <w:tblLook w:val="0400"/>
      </w:tblPr>
      <w:tblGrid>
        <w:gridCol w:w="2698"/>
        <w:gridCol w:w="6086"/>
        <w:tblGridChange w:id="0">
          <w:tblGrid>
            <w:gridCol w:w="2698"/>
            <w:gridCol w:w="6086"/>
          </w:tblGrid>
        </w:tblGridChange>
      </w:tblGrid>
      <w:tr>
        <w:trPr>
          <w:trHeight w:val="5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NOMBRE: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El Podcast: La voz del hoy</w:t>
            </w:r>
          </w:p>
        </w:tc>
      </w:tr>
      <w:tr>
        <w:trPr>
          <w:trHeight w:val="11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DESCRIPCIÓN: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La secuencia se enmarca en el entendimiento introductorio y la profundización de los contenidos y habilidades consideradas en la tercera unidad del Plan de Formación General de III° medio.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En este sentido, por medio de la comprensión del género podcast, los estudiantes vinculan una serie de experiencias de aprendizaje a la realización de una emisión de programa radial.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NIVEL: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3° medio</w:t>
            </w:r>
          </w:p>
        </w:tc>
      </w:tr>
      <w:tr>
        <w:trPr>
          <w:trHeight w:val="4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EJE(S):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Investigación/Comprensión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UNIDAD: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Unidad 3: Análisis de crítico de géneros discursivos en comunidades digitales.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Nº DE SESIONES: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7 sesiones</w:t>
            </w:r>
          </w:p>
        </w:tc>
      </w:tr>
      <w:tr>
        <w:trPr>
          <w:trHeight w:val="8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OBJ. APRENDIZAJE: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u w:val="single"/>
                <w:rtl w:val="0"/>
              </w:rPr>
              <w:t xml:space="preserve">OA 9 (Investigación):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Investigar sobre diversos temas para enriquecer sus lecturas y análisis, o para responder interrogantes propias de la asignatura: - Seleccionando fuentes e información según criterios de validez y confiabilidad. - Procesando la información mediante herramientas digitales o impresas. - Comunicando sus hallazgos por medio de géneros (escritos, orales o audiovisuales) del ámbito educativo. - Haciendo uso ético de la información investigada por medio de recursos de citación y referencia.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u w:val="single"/>
                <w:rtl w:val="0"/>
              </w:rPr>
              <w:t xml:space="preserve">OA 4 (Comprensión):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Analizar críticamente los géneros discursivos surgidos en diversas comunidades digitales (post, tweet, fotografías y videos, comentarios en foros, memes, etc.), considerando: - Influencia del contexto sociocultural. - Intereses, motivaciones, características y temas compartidos por los participantes de la comunidad. - Posicionamiento de los enunciadores frente a los temas y el rol que asumen ante la audiencia. - Modos de razonamiento y calidad de la evidencia para sostener opiniones. - Problemas éticos asociados a la participación: difusión de información, formas de acoso, descalificación o discriminación, sus alcances y consecuencias.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u w:val="single"/>
                <w:rtl w:val="0"/>
              </w:rPr>
              <w:t xml:space="preserve">OA 5 (Comprensión):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Evaluar los recursos lingüísticos y no lingüísticos (visuales, sonoros y gestuales) al comprender textos, considerando su incidencia en el posicionamiento frente al tema, en los roles y actitudes asumidos ante la audiencia*, y la forma en que dichos recursos se combinan para construir el sentido del discurso. *Por ejemplo: léxico valorativo, uso de deícticos, uso de verbos, construcciones oracionales, puntuación, etc.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OBJ. TRANSVERSALES: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Habilidades y actitudes del siglo XXI: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Responsabilidad por las propias acciones y decisiones con consciencia de las implicancias que estas tienen sobre uno mismo y los otros.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Ind w:w="0.0" w:type="dxa"/>
        <w:tblLayout w:type="fixed"/>
        <w:tblLook w:val="0400"/>
      </w:tblPr>
      <w:tblGrid>
        <w:gridCol w:w="2379"/>
        <w:gridCol w:w="6405"/>
        <w:tblGridChange w:id="0">
          <w:tblGrid>
            <w:gridCol w:w="2379"/>
            <w:gridCol w:w="6405"/>
          </w:tblGrid>
        </w:tblGridChange>
      </w:tblGrid>
      <w:tr>
        <w:trPr>
          <w:trHeight w:val="39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SESIÓN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OBJETIVO: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Conocer y comprender parámetros introductorios del género podcast.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RECURSOS: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Presentación de diapositivas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en formato ppt.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Plataforma de videoconferencia.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 realiza una clase introductoria sobre el género podcast y nociones de oralidad complementarias a el. Además, se explica el trabajo de proceso a través de la presentación y revisión del cuadernillo de trabajo.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Inicio: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activan conocimientos previos a través de un diálogo en conjunto con preguntas orientadoras sobre los medios de difusión, en específico la radio.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Tales como: ¿que entienden por medio de difusión? ¿cuál creen será su objetivo? ¿conocen o escuchan radio? ¿que impresión tienen de ella?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invita a incorporar nociones personales (ideas experiencias que complementen la actividad en curso).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presenta el objetivo de la clase.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Desarrollo: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revisan (en conjunto) ejemplares del género podcast, desde las ideas entregadas al inicio por los y las estudiantes.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revisan nociones de oralidad presentes en el género podcast. Tales como: Escucha activa, elementos paralinguísticos, des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arrollo y progresión tanto de la temática, como de la discusión de los interlocutores.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explica el trabajo de proceso, sobre la realización de un podcast.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Toman apuntes en su cuaderno.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retoma y resuelven dudas sobre el género podcast y criterios de oralidad presentes en 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retoma y resuelven dudas sobre la realización del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deja la tarea pendiente para la próxima clase, sobre posibles temáticas para sus podcasts y las importancias de estas. Estas temáticas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 enmarcarán dentro de los contenidos de la unidad, que refieren al análisis de las comunidades digitales y sus alcances como medios difusores de información.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Toman nota de esto en su cuaderno.</w:t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4.0" w:type="dxa"/>
        <w:jc w:val="left"/>
        <w:tblInd w:w="0.0" w:type="dxa"/>
        <w:tblLayout w:type="fixed"/>
        <w:tblLook w:val="0400"/>
      </w:tblPr>
      <w:tblGrid>
        <w:gridCol w:w="2039"/>
        <w:gridCol w:w="6745"/>
        <w:tblGridChange w:id="0">
          <w:tblGrid>
            <w:gridCol w:w="2039"/>
            <w:gridCol w:w="6745"/>
          </w:tblGrid>
        </w:tblGridChange>
      </w:tblGrid>
      <w:tr>
        <w:trPr>
          <w:trHeight w:val="39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SESIÓN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OBJETIVO: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Dialogar y reflexionar en torno a la información seleccionada y llevada a clases.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RECURSOS: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Presentación de diapositivas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en formato ppt.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Plataforma de videoconferencia.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42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DESCRIPCIÓ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N: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42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 realiza en grupos una revisión de la información solicitada en la clase anterior, en función de definir la temática de sus podcasts.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Inicio: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presenta el objetivo de la clase.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realiza actividad de conocimientos previos, recordando brevemente las nociones de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 género podcast y nociones complementarias de oralidad, vistas en la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 clase anterior.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invita a incorporar nociones personales (ideas o experiencias que complementen la actividad en curso).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Desarrollo: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reúnen en grupos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y comienzan a revisar y analizar la información solicitada como tarea en el cierre de la clase anterior.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A partir de este análisis, escogen una temática central de su podcast; y una justificación sobre la importancia del tema seleccionado.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Toman nota de este proceso en su cuade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Los grupos comentan sus avances con el resto del curso.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evalúa la actividad en conjunto, en relación con sus facilidades y dificultades.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 retoman y resuelven dudas de la clase.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deja la tarea de investigar más profundamente en la temática escogida, para la clase siguiente.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Toman nota de esto en su cuaderno.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4.0" w:type="dxa"/>
        <w:jc w:val="left"/>
        <w:tblInd w:w="0.0" w:type="dxa"/>
        <w:tblLayout w:type="fixed"/>
        <w:tblLook w:val="0400"/>
      </w:tblPr>
      <w:tblGrid>
        <w:gridCol w:w="2039"/>
        <w:gridCol w:w="6745"/>
        <w:tblGridChange w:id="0">
          <w:tblGrid>
            <w:gridCol w:w="2039"/>
            <w:gridCol w:w="6745"/>
          </w:tblGrid>
        </w:tblGridChange>
      </w:tblGrid>
      <w:tr>
        <w:trPr>
          <w:trHeight w:val="39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SESIÓN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OBJETIVO: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Profundizar en la comprensión del género podcast.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Planificar y redactar el guion para su podcast.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RECURSOS: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Presentación de diapositivas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en formato ppt.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Pauta guion.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Plataforma de videoconferencia.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184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DESCRIPCIÓ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N: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184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 retoman los conocimientos vistos anteriormente sobre el genero, para comenzar la escritura del guion del podcast.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Inicio: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presenta objetivo de la clase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realiza actividad de conocimientos previos, recordando brevemente nociones del género po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dcast, nociones complementarias de oralidad vistas en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las clases anteriores.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invita a incorporar nociones personales (ideas o experiencias que complementen la actividad en curso).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Desarrollo: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retoma el acercamiento al género para comenzar la escritura grupal de un guion para su podcast, a través de una pauta de escritura. (Se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dividen salas en la videoconferencia para el trabajo en grupo)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completa la pauta de escritura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para generar una primera versión del guion.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evalúa la actividad en conjunto, en relación con sus facilidades y dificultades.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 retoman y resuelven dudas de la clase.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Toman nota de esto en su cuaderno.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Docente se lleva primera versión del guion para retroalimentar.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84.0" w:type="dxa"/>
        <w:jc w:val="left"/>
        <w:tblInd w:w="0.0" w:type="dxa"/>
        <w:tblLayout w:type="fixed"/>
        <w:tblLook w:val="0400"/>
      </w:tblPr>
      <w:tblGrid>
        <w:gridCol w:w="2039"/>
        <w:gridCol w:w="6745"/>
        <w:tblGridChange w:id="0">
          <w:tblGrid>
            <w:gridCol w:w="2039"/>
            <w:gridCol w:w="6745"/>
          </w:tblGrid>
        </w:tblGridChange>
      </w:tblGrid>
      <w:tr>
        <w:trPr>
          <w:trHeight w:val="39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SESIÓN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OBJETIVO: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Editar el producto guion a partir de la retroalimentación realizada. (Para construcción de versión final)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RECURSOS: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Presentación de diapositivas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en formato ppt.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Pauta guion.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Plataforma de videoconferencia.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184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184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 entrega retroalimentación de primera versión del guion. Se comienza la escritura final.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Inicio: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presenta objetivo de la clase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realiza actividad de conocimientos previos, recordando brevemente la clase anterior.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invita a incorporar nociones personales (ideas o experiencias que complementen la actividad en curso).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Desarrollo: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reúnen en grupos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(a través de la división de salas en la videoconferencia)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y se les entrega la retroalimentación del guion realizado en la clase anterior.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Con las correcciones, comienzan la construcción final del guion.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Toman nota de este proceso en su cuadern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evalúa la actividad en conjunto, en relación con sus facilidades y dificultades.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 retoman y resuelven dudas de la clase.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Toman nota de esto en su cuaderno.</w:t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84.0" w:type="dxa"/>
        <w:jc w:val="left"/>
        <w:tblInd w:w="0.0" w:type="dxa"/>
        <w:tblLayout w:type="fixed"/>
        <w:tblLook w:val="0400"/>
      </w:tblPr>
      <w:tblGrid>
        <w:gridCol w:w="2039"/>
        <w:gridCol w:w="6745"/>
        <w:tblGridChange w:id="0">
          <w:tblGrid>
            <w:gridCol w:w="2039"/>
            <w:gridCol w:w="6745"/>
          </w:tblGrid>
        </w:tblGridChange>
      </w:tblGrid>
      <w:tr>
        <w:trPr>
          <w:trHeight w:val="39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SESIÓN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OBJETIVO: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Conocer y comprender plataformas y herramientas afines con el género podcast.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RECURSOS: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Presentación de diapositivas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en formato ppt.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Plataforma de videoconferencia.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42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42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 realiza una clase sobre herramientas y plataformas disponibles que se necesitan para construir un podcast.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Inicio: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presenta objetivo de la clase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realiza actividad de conocimientos previos, recordando brevemente lo trabajado hasta el momento.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invita a incorporar nociones personales (ideas o experiencias que complementen la actividad en curso).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Desarrollo: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presentan y analizan distintas plataformas para lograr la comprensión de las herramientas necesarias para realizar el género podcast.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Toman nota de este proceso en su cuader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evalúa la actividad en conjunto, en relación con sus facilidades y dificultades.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7"/>
              </w:numP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 retoman y resuelven dudas de la clase.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7"/>
              </w:numP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Toman nota de esto en su cuaderno.</w:t>
            </w:r>
          </w:p>
        </w:tc>
      </w:tr>
    </w:tbl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84.0" w:type="dxa"/>
        <w:jc w:val="left"/>
        <w:tblInd w:w="0.0" w:type="dxa"/>
        <w:tblLayout w:type="fixed"/>
        <w:tblLook w:val="0400"/>
      </w:tblPr>
      <w:tblGrid>
        <w:gridCol w:w="2039"/>
        <w:gridCol w:w="6745"/>
        <w:tblGridChange w:id="0">
          <w:tblGrid>
            <w:gridCol w:w="2039"/>
            <w:gridCol w:w="6745"/>
          </w:tblGrid>
        </w:tblGridChange>
      </w:tblGrid>
      <w:tr>
        <w:trPr>
          <w:trHeight w:val="39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SESIÓN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OBJETIVO: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Presentar producto final.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RECURSOS: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Presentación de diapositivas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en formato ppt.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Plataforma de videoconferencia.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42"/>
              <w:jc w:val="both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-42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Se realiza por grupos un tráiler sobre su podcast, para motivar la visita de estos.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Inicio: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presenta objetivo de la clase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realiza actividad de conocimientos previos, recordando brevemente lo realizado a través de la unidad.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invita a incorporar nociones personales (ideas o experiencias que complementen la actividad en curso).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Desarrollo: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Presentación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de trailers de los podcasts.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Toman nota de este proceso en su cuaderno.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realizan comentarios en conjunto sobre los proyectos realizados.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Se evalúa la realización del proyecto, en relación a sus facilidades, dificultades, aprendizajes y su atractivo.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4"/>
              </w:numP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Toman nota de este proceso en su cuaderno.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right="360"/>
      <w:jc w:val="right"/>
      <w:rPr>
        <w:rFonts w:ascii="Tahoma" w:cs="Tahoma" w:eastAsia="Tahoma" w:hAnsi="Tahoma"/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rtl w:val="0"/>
      </w:rPr>
      <w:t xml:space="preserve">Valdebenito Santis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