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E5DA"/>
  <w:body>
    <w:p w14:paraId="318190FA" w14:textId="77777777" w:rsidR="00487FF5" w:rsidRDefault="00487FF5">
      <w:pPr>
        <w:widowControl w:val="0"/>
      </w:pPr>
    </w:p>
    <w:tbl>
      <w:tblPr>
        <w:tblStyle w:val="a"/>
        <w:tblW w:w="10065" w:type="dxa"/>
        <w:jc w:val="center"/>
        <w:tblInd w:w="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175"/>
      </w:tblGrid>
      <w:tr w:rsidR="00487FF5" w14:paraId="265CB74B" w14:textId="77777777">
        <w:trPr>
          <w:trHeight w:val="13005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94B6D2"/>
            <w:vAlign w:val="center"/>
          </w:tcPr>
          <w:p w14:paraId="52A3890E" w14:textId="77777777" w:rsidR="00487FF5" w:rsidRDefault="0074128E">
            <w:pPr>
              <w:spacing w:line="240" w:lineRule="auto"/>
              <w:jc w:val="center"/>
              <w:rPr>
                <w:rFonts w:ascii="Twentieth Century" w:eastAsia="Twentieth Century" w:hAnsi="Twentieth Century" w:cs="Twentieth Century"/>
                <w:i/>
                <w:color w:val="FFFFFF"/>
                <w:sz w:val="32"/>
                <w:szCs w:val="32"/>
              </w:rPr>
            </w:pPr>
            <w:r>
              <w:rPr>
                <w:rFonts w:ascii="Twentieth Century" w:eastAsia="Twentieth Century" w:hAnsi="Twentieth Century" w:cs="Twentieth Century"/>
                <w:i/>
                <w:color w:val="FFFFFF"/>
                <w:sz w:val="36"/>
                <w:szCs w:val="36"/>
              </w:rPr>
              <w:t>Para tener en cuenta:</w:t>
            </w:r>
            <w:r>
              <w:rPr>
                <w:rFonts w:ascii="Twentieth Century" w:eastAsia="Twentieth Century" w:hAnsi="Twentieth Century" w:cs="Twentieth Century"/>
                <w:i/>
                <w:color w:val="FFFFFF"/>
                <w:sz w:val="32"/>
                <w:szCs w:val="32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0930B88" wp14:editId="242E00B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13977" cy="619125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77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8E5DA"/>
            <w:tcMar>
              <w:left w:w="216" w:type="dxa"/>
            </w:tcMar>
          </w:tcPr>
          <w:p w14:paraId="66CDCDCD" w14:textId="77777777" w:rsidR="00487FF5" w:rsidRDefault="0074128E">
            <w:pPr>
              <w:spacing w:line="360" w:lineRule="auto"/>
              <w:rPr>
                <w:rFonts w:ascii="Twentieth Century" w:eastAsia="Twentieth Century" w:hAnsi="Twentieth Century" w:cs="Twentieth Century"/>
                <w:b/>
                <w:sz w:val="26"/>
                <w:szCs w:val="26"/>
              </w:rPr>
            </w:pP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 xml:space="preserve">  </w:t>
            </w:r>
          </w:p>
          <w:p w14:paraId="005D2B03" w14:textId="77777777" w:rsidR="00487FF5" w:rsidRDefault="0074128E">
            <w:pPr>
              <w:spacing w:line="360" w:lineRule="auto"/>
              <w:rPr>
                <w:rFonts w:ascii="Twentieth Century" w:eastAsia="Twentieth Century" w:hAnsi="Twentieth Century" w:cs="Twentieth Century"/>
                <w:b/>
                <w:sz w:val="60"/>
                <w:szCs w:val="60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60"/>
                <w:szCs w:val="60"/>
              </w:rPr>
              <w:t>¿</w:t>
            </w:r>
            <w:r>
              <w:rPr>
                <w:rFonts w:ascii="Twentieth Century" w:eastAsia="Twentieth Century" w:hAnsi="Twentieth Century" w:cs="Twentieth Century"/>
                <w:b/>
                <w:sz w:val="48"/>
                <w:szCs w:val="48"/>
              </w:rPr>
              <w:t>Qué es un artículo de opinión</w:t>
            </w:r>
            <w:r>
              <w:rPr>
                <w:rFonts w:ascii="Twentieth Century" w:eastAsia="Twentieth Century" w:hAnsi="Twentieth Century" w:cs="Twentieth Century"/>
                <w:b/>
                <w:sz w:val="60"/>
                <w:szCs w:val="60"/>
              </w:rPr>
              <w:t>?</w:t>
            </w:r>
          </w:p>
          <w:p w14:paraId="1147B708" w14:textId="77777777" w:rsidR="00487FF5" w:rsidRDefault="0074128E">
            <w:pPr>
              <w:spacing w:line="360" w:lineRule="auto"/>
              <w:jc w:val="both"/>
              <w:rPr>
                <w:rFonts w:ascii="Twentieth Century" w:eastAsia="Twentieth Century" w:hAnsi="Twentieth Century" w:cs="Twentieth Century"/>
                <w:sz w:val="26"/>
                <w:szCs w:val="26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6"/>
                <w:szCs w:val="26"/>
              </w:rPr>
              <w:t xml:space="preserve">Un artículo de opinión 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 xml:space="preserve">es un tipo de texto periodístico que tiene como propósito exponer una opinión fundamentada respecto a un tema que se considera de interés público. Por medio de la </w:t>
            </w:r>
            <w:proofErr w:type="gramStart"/>
            <w:r>
              <w:rPr>
                <w:rFonts w:ascii="Twentieth Century" w:eastAsia="Twentieth Century" w:hAnsi="Twentieth Century" w:cs="Twentieth Century"/>
                <w:b/>
                <w:sz w:val="26"/>
                <w:szCs w:val="26"/>
              </w:rPr>
              <w:t>persuasión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,  se</w:t>
            </w:r>
            <w:proofErr w:type="gramEnd"/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 xml:space="preserve"> espera influir en el pensamiento de la audiencia, haciendo que en lo posible 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adopte un punto de vista similar, es decir, comparta los argumentos y la tesis planteada.</w:t>
            </w:r>
          </w:p>
          <w:p w14:paraId="07457671" w14:textId="77777777" w:rsidR="00487FF5" w:rsidRDefault="00487FF5">
            <w:pPr>
              <w:spacing w:line="360" w:lineRule="auto"/>
              <w:jc w:val="both"/>
              <w:rPr>
                <w:rFonts w:ascii="Twentieth Century" w:eastAsia="Twentieth Century" w:hAnsi="Twentieth Century" w:cs="Twentieth Century"/>
                <w:sz w:val="26"/>
                <w:szCs w:val="26"/>
              </w:rPr>
            </w:pPr>
            <w:bookmarkStart w:id="0" w:name="_gjdgxs" w:colFirst="0" w:colLast="0"/>
            <w:bookmarkEnd w:id="0"/>
          </w:p>
          <w:p w14:paraId="0EDD884E" w14:textId="77777777" w:rsidR="00487FF5" w:rsidRDefault="0074128E">
            <w:pPr>
              <w:spacing w:line="360" w:lineRule="auto"/>
              <w:jc w:val="both"/>
              <w:rPr>
                <w:rFonts w:ascii="Twentieth Century" w:eastAsia="Twentieth Century" w:hAnsi="Twentieth Century" w:cs="Twentieth Century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 xml:space="preserve">La autora o autor es considerada/o especialista en la temática a tratar, contribuye esporádicamente a los </w:t>
            </w:r>
            <w:r>
              <w:rPr>
                <w:rFonts w:ascii="Twentieth Century" w:eastAsia="Twentieth Century" w:hAnsi="Twentieth Century" w:cs="Twentieth Century"/>
                <w:b/>
                <w:sz w:val="26"/>
                <w:szCs w:val="26"/>
              </w:rPr>
              <w:t>medios de comunicación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 xml:space="preserve"> –a diferencia del columnista que lo 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 xml:space="preserve">hace periódicamente en una sección destinada para ello- y </w:t>
            </w:r>
            <w:r>
              <w:rPr>
                <w:rFonts w:ascii="Twentieth Century" w:eastAsia="Twentieth Century" w:hAnsi="Twentieth Century" w:cs="Twentieth Century"/>
                <w:b/>
                <w:sz w:val="26"/>
                <w:szCs w:val="26"/>
              </w:rPr>
              <w:t>su misión es transmitir de forma clara y sencilla la discusión que aborda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, para que tanto lectoras y lectores puedan comprender la relevancia del debate abordado y puedan evaluar si la tesis plantea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da puede ser adecuadamente soportada por los argumentos expuestos, de modo que contribuya o no a su propia opinión frente a la temática que se aborda.</w:t>
            </w:r>
          </w:p>
          <w:p w14:paraId="63C2C74C" w14:textId="77777777" w:rsidR="00487FF5" w:rsidRDefault="00487FF5">
            <w:pPr>
              <w:spacing w:line="360" w:lineRule="auto"/>
              <w:jc w:val="both"/>
              <w:rPr>
                <w:rFonts w:ascii="Twentieth Century" w:eastAsia="Twentieth Century" w:hAnsi="Twentieth Century" w:cs="Twentieth Century"/>
                <w:sz w:val="26"/>
                <w:szCs w:val="26"/>
              </w:rPr>
            </w:pPr>
            <w:bookmarkStart w:id="2" w:name="_1fob9te" w:colFirst="0" w:colLast="0"/>
            <w:bookmarkEnd w:id="2"/>
          </w:p>
          <w:p w14:paraId="42648C07" w14:textId="77777777" w:rsidR="00487FF5" w:rsidRDefault="0074128E">
            <w:pPr>
              <w:spacing w:line="360" w:lineRule="auto"/>
              <w:jc w:val="both"/>
              <w:rPr>
                <w:rFonts w:ascii="Twentieth Century" w:eastAsia="Twentieth Century" w:hAnsi="Twentieth Century" w:cs="Twentieth Century"/>
                <w:sz w:val="26"/>
                <w:szCs w:val="26"/>
              </w:rPr>
            </w:pPr>
            <w:bookmarkStart w:id="3" w:name="_3znysh7" w:colFirst="0" w:colLast="0"/>
            <w:bookmarkEnd w:id="3"/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Se espera que en este tipo de texto se utilice un lenguaje claro y funcional adecuado para el medio de s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u publicación y difusión y que la estructura de éste posea a modo general: una introducción en la que se plantee la temática, un desarrollo en el que se expongan los argumentos de la postura de la autora o autor y una conclusión en la que se refuerce la te</w:t>
            </w:r>
            <w:r>
              <w:rPr>
                <w:rFonts w:ascii="Twentieth Century" w:eastAsia="Twentieth Century" w:hAnsi="Twentieth Century" w:cs="Twentieth Century"/>
                <w:sz w:val="26"/>
                <w:szCs w:val="26"/>
              </w:rPr>
              <w:t>sis principal del artículo.</w:t>
            </w:r>
          </w:p>
        </w:tc>
      </w:tr>
    </w:tbl>
    <w:p w14:paraId="4DF08E6A" w14:textId="77777777" w:rsidR="00487FF5" w:rsidRDefault="00487FF5">
      <w:pPr>
        <w:spacing w:after="200"/>
      </w:pPr>
    </w:p>
    <w:p w14:paraId="20944E01" w14:textId="77777777" w:rsidR="00487FF5" w:rsidRDefault="00487FF5">
      <w:pPr>
        <w:spacing w:after="200"/>
      </w:pPr>
    </w:p>
    <w:p w14:paraId="74813980" w14:textId="77777777" w:rsidR="00487FF5" w:rsidRDefault="00487FF5">
      <w:pPr>
        <w:spacing w:after="200"/>
      </w:pPr>
    </w:p>
    <w:p w14:paraId="1C87EC19" w14:textId="77777777" w:rsidR="00487FF5" w:rsidRDefault="00487FF5">
      <w:pPr>
        <w:spacing w:after="200"/>
      </w:pPr>
    </w:p>
    <w:p w14:paraId="257933A8" w14:textId="77777777" w:rsidR="00487FF5" w:rsidRDefault="00487FF5">
      <w:pPr>
        <w:spacing w:after="200"/>
      </w:pPr>
    </w:p>
    <w:tbl>
      <w:tblPr>
        <w:tblStyle w:val="a0"/>
        <w:tblW w:w="102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7"/>
      </w:tblGrid>
      <w:tr w:rsidR="00487FF5" w14:paraId="1047682C" w14:textId="77777777">
        <w:tc>
          <w:tcPr>
            <w:tcW w:w="10227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</w:tcBorders>
            <w:shd w:val="clear" w:color="auto" w:fill="94B6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6CD4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BECEB8" w14:textId="77777777" w:rsidR="00487FF5" w:rsidRDefault="00741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4" w:name="_2et92p0" w:colFirst="0" w:colLast="0"/>
            <w:bookmarkEnd w:id="4"/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13DDB7E3" wp14:editId="3BE42AD0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49531</wp:posOffset>
                  </wp:positionV>
                  <wp:extent cx="4238625" cy="4424363"/>
                  <wp:effectExtent l="101600" t="101600" r="101600" b="10160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31297" t="22395" r="32066" b="5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4424363"/>
                          </a:xfrm>
                          <a:prstGeom prst="rect">
                            <a:avLst/>
                          </a:prstGeom>
                          <a:ln w="101600">
                            <a:solidFill>
                              <a:srgbClr val="F8E5DA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0D2A2F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180F89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18D908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4ACEB7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E90EE8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EDBE9C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B648E7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17A4C8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193E7C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7EECDF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51E7FA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3D27CE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2CD656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278C8B" w14:textId="77777777" w:rsidR="00487FF5" w:rsidRDefault="0048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E7411E4" w14:textId="77777777" w:rsidR="00487FF5" w:rsidRDefault="00487FF5">
      <w:pPr>
        <w:spacing w:after="200"/>
      </w:pPr>
    </w:p>
    <w:p w14:paraId="65DF0A41" w14:textId="77777777" w:rsidR="00487FF5" w:rsidRDefault="00487FF5">
      <w:pPr>
        <w:spacing w:after="200"/>
      </w:pPr>
    </w:p>
    <w:p w14:paraId="389942D2" w14:textId="77777777" w:rsidR="00487FF5" w:rsidRDefault="00487FF5">
      <w:pPr>
        <w:spacing w:after="200"/>
      </w:pPr>
    </w:p>
    <w:p w14:paraId="6AA538A5" w14:textId="77777777" w:rsidR="00487FF5" w:rsidRDefault="0074128E">
      <w:pPr>
        <w:spacing w:after="200"/>
        <w:ind w:left="1440"/>
        <w:rPr>
          <w:rFonts w:ascii="Twentieth Century" w:eastAsia="Twentieth Century" w:hAnsi="Twentieth Century" w:cs="Twentieth Century"/>
          <w:sz w:val="20"/>
          <w:szCs w:val="20"/>
        </w:rPr>
      </w:pPr>
      <w:hyperlink r:id="rId8">
        <w:r>
          <w:rPr>
            <w:rFonts w:ascii="Twentieth Century" w:eastAsia="Twentieth Century" w:hAnsi="Twentieth Century" w:cs="Twentieth Century"/>
            <w:color w:val="1155CC"/>
            <w:sz w:val="20"/>
            <w:szCs w:val="20"/>
            <w:u w:val="single"/>
          </w:rPr>
          <w:t xml:space="preserve">Fuente mapa conceptual: Ministerio de Educación. Guía de Aprendizaje N°3 Literatura y Sociedad. </w:t>
        </w:r>
        <w:r>
          <w:rPr>
            <w:rFonts w:ascii="Twentieth Century" w:eastAsia="Twentieth Century" w:hAnsi="Twentieth Century" w:cs="Twentieth Century"/>
            <w:color w:val="1155CC"/>
            <w:sz w:val="20"/>
            <w:szCs w:val="20"/>
            <w:u w:val="single"/>
          </w:rPr>
          <w:t>Educación para Jóvenes y Adultos. Segundo ciclo o ciclo Educación Media. Año: 2013. p:9.</w:t>
        </w:r>
      </w:hyperlink>
    </w:p>
    <w:p w14:paraId="5F7B0149" w14:textId="77777777" w:rsidR="00487FF5" w:rsidRDefault="00487FF5">
      <w:pPr>
        <w:spacing w:after="200"/>
        <w:rPr>
          <w:rFonts w:ascii="Twentieth Century" w:eastAsia="Twentieth Century" w:hAnsi="Twentieth Century" w:cs="Twentieth Century"/>
          <w:sz w:val="36"/>
          <w:szCs w:val="36"/>
        </w:rPr>
      </w:pPr>
    </w:p>
    <w:p w14:paraId="0CED2437" w14:textId="77777777" w:rsidR="00487FF5" w:rsidRDefault="00487FF5">
      <w:pPr>
        <w:spacing w:after="200"/>
        <w:rPr>
          <w:rFonts w:ascii="Twentieth Century" w:eastAsia="Twentieth Century" w:hAnsi="Twentieth Century" w:cs="Twentieth Century"/>
          <w:sz w:val="36"/>
          <w:szCs w:val="36"/>
        </w:rPr>
      </w:pPr>
    </w:p>
    <w:sectPr w:rsidR="00487FF5">
      <w:headerReference w:type="default" r:id="rId9"/>
      <w:footerReference w:type="default" r:id="rId10"/>
      <w:pgSz w:w="11909" w:h="16834"/>
      <w:pgMar w:top="1440" w:right="832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2F78C" w14:textId="77777777" w:rsidR="0074128E" w:rsidRDefault="0074128E">
      <w:pPr>
        <w:spacing w:line="240" w:lineRule="auto"/>
      </w:pPr>
      <w:r>
        <w:separator/>
      </w:r>
    </w:p>
  </w:endnote>
  <w:endnote w:type="continuationSeparator" w:id="0">
    <w:p w14:paraId="44D1B3B1" w14:textId="77777777" w:rsidR="0074128E" w:rsidRDefault="00741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6633" w14:textId="77777777" w:rsidR="00487FF5" w:rsidRDefault="0074128E">
    <w:pPr>
      <w:jc w:val="right"/>
    </w:pPr>
    <w:r>
      <w:fldChar w:fldCharType="begin"/>
    </w:r>
    <w:r>
      <w:instrText>PAGE</w:instrText>
    </w:r>
    <w:r w:rsidR="00B600AE">
      <w:fldChar w:fldCharType="separate"/>
    </w:r>
    <w:r w:rsidR="00B600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24FB" w14:textId="77777777" w:rsidR="0074128E" w:rsidRDefault="0074128E">
      <w:pPr>
        <w:spacing w:line="240" w:lineRule="auto"/>
      </w:pPr>
      <w:r>
        <w:separator/>
      </w:r>
    </w:p>
  </w:footnote>
  <w:footnote w:type="continuationSeparator" w:id="0">
    <w:p w14:paraId="6FC9D244" w14:textId="77777777" w:rsidR="0074128E" w:rsidRDefault="00741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6FB0C" w14:textId="77777777" w:rsidR="00487FF5" w:rsidRDefault="0074128E">
    <w:pPr>
      <w:jc w:val="right"/>
      <w:rPr>
        <w:rFonts w:ascii="Twentieth Century" w:eastAsia="Twentieth Century" w:hAnsi="Twentieth Century" w:cs="Twentieth Century"/>
        <w:b/>
        <w:sz w:val="24"/>
        <w:szCs w:val="24"/>
      </w:rPr>
    </w:pPr>
    <w:r>
      <w:rPr>
        <w:rFonts w:ascii="Twentieth Century" w:eastAsia="Twentieth Century" w:hAnsi="Twentieth Century" w:cs="Twentieth Century"/>
        <w:b/>
        <w:sz w:val="24"/>
        <w:szCs w:val="24"/>
      </w:rPr>
      <w:t xml:space="preserve">Unidad 4: La escritura como forma de participación social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F5"/>
    <w:rsid w:val="00487FF5"/>
    <w:rsid w:val="0074128E"/>
    <w:rsid w:val="00B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88D"/>
  <w15:docId w15:val="{2A1EFB43-AF7C-40AE-9E38-62167E1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ja.mineduc.cl/modalidad-regular/informacion-a-estudiantes/material-de-apoyo/guia-no-3-lenguaje-y-comunicacion-literatura-y-socieda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2020-10-06T15:08:00Z</dcterms:created>
  <dcterms:modified xsi:type="dcterms:W3CDTF">2020-10-06T15:08:00Z</dcterms:modified>
</cp:coreProperties>
</file>