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598682" cy="333621"/>
            <wp:effectExtent b="0" l="0" r="0" t="0"/>
            <wp:docPr descr="Archivos para descargar | UAH | Admisión 2020" id="1" name="image1.jpg"/>
            <a:graphic>
              <a:graphicData uri="http://schemas.openxmlformats.org/drawingml/2006/picture">
                <pic:pic>
                  <pic:nvPicPr>
                    <pic:cNvPr descr="Archivos para descargar | UAH | Admisión 2020" id="0" name="image1.jpg"/>
                    <pic:cNvPicPr preferRelativeResize="0"/>
                  </pic:nvPicPr>
                  <pic:blipFill>
                    <a:blip r:embed="rId6"/>
                    <a:srcRect b="32471" l="4977" r="3237" t="34408"/>
                    <a:stretch>
                      <a:fillRect/>
                    </a:stretch>
                  </pic:blipFill>
                  <pic:spPr>
                    <a:xfrm>
                      <a:off x="0" y="0"/>
                      <a:ext cx="1598682" cy="333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90196" cy="676916"/>
            <wp:effectExtent b="0" l="0" r="0" t="0"/>
            <wp:docPr descr="Directorio | Ranking850" id="2" name="image2.png"/>
            <a:graphic>
              <a:graphicData uri="http://schemas.openxmlformats.org/drawingml/2006/picture">
                <pic:pic>
                  <pic:nvPicPr>
                    <pic:cNvPr descr="Directorio | Ranking850" id="0" name="image2.png"/>
                    <pic:cNvPicPr preferRelativeResize="0"/>
                  </pic:nvPicPr>
                  <pic:blipFill>
                    <a:blip r:embed="rId7"/>
                    <a:srcRect b="0" l="0" r="6037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196" cy="676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Asignaturas de Reflexión P.Ed. II y Elab II</w:t>
      </w:r>
    </w:p>
    <w:p w:rsidR="00000000" w:rsidDel="00000000" w:rsidP="00000000" w:rsidRDefault="00000000" w:rsidRPr="00000000" w14:paraId="00000005">
      <w:pPr>
        <w:ind w:left="2124" w:firstLine="707.999999999999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ind w:left="2124" w:firstLine="707.9999999999998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Diseño de Secuencia didáctica 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Karen Riveros Barrueto, profesora en formación, quinto año (2020), UAH.</w:t>
      </w:r>
    </w:p>
    <w:p w:rsidR="00000000" w:rsidDel="00000000" w:rsidP="00000000" w:rsidRDefault="00000000" w:rsidRPr="00000000" w14:paraId="00000009">
      <w:pPr>
        <w:ind w:left="2124" w:firstLine="707.999999999999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2</w:t>
      </w:r>
      <w:r w:rsidDel="00000000" w:rsidR="00000000" w:rsidRPr="00000000">
        <w:rPr>
          <w:sz w:val="24"/>
          <w:szCs w:val="24"/>
          <w:rtl w:val="0"/>
        </w:rPr>
        <w:t xml:space="preserve">: Ciudadanía y trabajo (Medios de comunicación)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Nivel</w:t>
      </w:r>
      <w:r w:rsidDel="00000000" w:rsidR="00000000" w:rsidRPr="00000000">
        <w:rPr>
          <w:sz w:val="24"/>
          <w:szCs w:val="24"/>
          <w:rtl w:val="0"/>
        </w:rPr>
        <w:t xml:space="preserve">: Segundo Medio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Clase  N° 2</w:t>
      </w:r>
    </w:p>
    <w:tbl>
      <w:tblPr>
        <w:tblStyle w:val="Table1"/>
        <w:tblW w:w="133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7"/>
        <w:gridCol w:w="1617"/>
        <w:gridCol w:w="8676"/>
        <w:tblGridChange w:id="0">
          <w:tblGrid>
            <w:gridCol w:w="3027"/>
            <w:gridCol w:w="1617"/>
            <w:gridCol w:w="867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Estructura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Descripción</w:t>
            </w:r>
          </w:p>
        </w:tc>
      </w:tr>
      <w:tr>
        <w:trPr>
          <w:trHeight w:val="848" w:hRule="atLeast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Objetivo(s) de clase: 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Detectar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los roles de género presentes en la publicidad y propaganda, para evidenciar cómo influyen en la audiencia. 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Juzgar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el rol que cumplen las personas en la publicidad y propaganda.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Tiempo destinado: 10´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Motivación: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El video al ser divertido busca que los/as estudiantes puedan interesarse por la clase, además este material audiovisual les permite reflexionar sobre el concepto de “género” que se abordará más adelante.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https://www.youtube.com/watch?v=t3jhyoPzWpQ</w:t>
              </w:r>
            </w:hyperlink>
            <w:r w:rsidDel="00000000" w:rsidR="00000000" w:rsidRPr="00000000">
              <w:rPr>
                <w:rtl w:val="0"/>
              </w:rPr>
              <w:t xml:space="preserve"> (0:50)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Luego de ver el video responderán a las preguntas que aparecen en la diapositiva tres de la segunda clase de propaganda y publicidad.  (5’)</w:t>
            </w:r>
          </w:p>
        </w:tc>
      </w:tr>
      <w:tr>
        <w:trPr>
          <w:trHeight w:val="768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Activación de conocimientos previos: 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preguntas (diapositiva 4) de activación de conocimientos previos buscan que los/as estudiantes recuerden frases dichas por otras personas, las cuales están permeadas por estereotipos y/o roles de géneros que han influido en su conformación como personas. (5´)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6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Habilidad(es) a desarrollar: Detectar, Juzgar y empatizar.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explicar la primera habilidad se realizará una pregunta (diapositiva dos)  que considera los conocimientos previos de los/as estudiantes. Respecto a la segunda habilidad “juzgar” solo será necesario recordar la explicación y el ejemplo de la clase anterior. 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¿Qué se realizará?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Tiempo destinado: 40´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Actividad(es) central(es):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formativa extensa: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Primero, leerán dos noticias y responderán a sus respectivas preguntas. Luego la guía será comentada de forma dialógica. (30’)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Consideración extra:</w:t>
            </w:r>
            <w:r w:rsidDel="00000000" w:rsidR="00000000" w:rsidRPr="00000000">
              <w:rPr>
                <w:rtl w:val="0"/>
              </w:rPr>
              <w:t xml:space="preserve"> tomando en cuenta la modalidad de clases a distancia, la guía puede darse como una actividad para la casa. Idealmente se espera que a esta clase lleguen con la actividad realizada para comentarla, por ello la diapositiva ocho considera algunas preguntas de la guía para socializar las respuestas de forma dialógica.  </w:t>
            </w:r>
          </w:p>
          <w:p w:rsidR="00000000" w:rsidDel="00000000" w:rsidP="00000000" w:rsidRDefault="00000000" w:rsidRPr="00000000" w14:paraId="0000003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Actividad formativa corta: 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Luego, se revisará una campaña del Ministerio de desarrollo social (mides) de Uruguay: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https://www.youtube.com/watch?v=sKKCUMLMfUI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(00:56)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Una vez visto el video se responderán tres preguntas que aparecen en la diapositiva 9, las cuales propiciarán la empatía por parte de los/as estudiantes, además de inferir la finalidad de la campaña propagandística. (10´)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Tarea durante instancias no presenciales: 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Los/as estudiantes deberán observar en sus casas un tutorial sobre la plataforma Canva, para que puedan realizar la evaluación final: un afiche propagandístico. 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También, tendrán que leer las siguientes noticias (diapositiva 12) para seleccionar un tema de interés para incluirlo en su afiche: </w:t>
            </w:r>
          </w:p>
          <w:p w:rsidR="00000000" w:rsidDel="00000000" w:rsidP="00000000" w:rsidRDefault="00000000" w:rsidRPr="00000000" w14:paraId="0000004C">
            <w:pPr>
              <w:spacing w:after="280" w:before="280" w:lineRule="auto"/>
              <w:rPr>
                <w:color w:val="0000ff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https://www.greenpeace.org/chile/noticia/uncategorized/el-melon-y-su-batalla-por-no-secarse-paltas-y-mineria-los-poderosos-actores-que-dejan-sin-agua-la-zona-central-de-chile/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80" w:before="28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https://www.24horas.cl/data/las-cifras-de-violencia-contra-la-mujer-en-lo-que-va-de-2020-4349067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https://www.elmostrador.cl/braga/2020/03/26/casos-de-violencia-homofobica-aumentaron-un-58-durante-2019-es-la-cifra-mas-alta-en-la-historia-de-chile/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6" w:hRule="atLeast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Desglose de contenidos: 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Roles de género.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Estereotipos de género.</w:t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2" w:hRule="atLeast"/>
        </w:trPr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Eje: lectura.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(objetivos,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habilidades/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síntesis/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metacognición)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Tiempo destinado: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20´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Finalmente, se realizarán preguntas sobre objetivos, habilidades, síntesis contenidos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Metacognición que permitirán identificar qué aprendieron o no los/as estudiantes, y qué les costó más o menos aprender.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Preguntas sobre las habilidades consideradas en los objetivos: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En qué parte de la actividad tuvieron que aplicar las siguientes habilidades: detectar y  Juzgar ¿Qué tuviste que hacer para aplicar estas habilidades?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¿Cuál habilidad te costó más? ¿Por qué?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Posteriormente, pasaremos a realizar la síntesis de contenidos: 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¿De qué manera los roles de género presentes en la publicidad y propaganda influyen en la conformación de los/as espectadores/as?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Reflexión del contenido: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Desde ahora al observar una publicidad o una propaganda en los medios masivos de comunicación ¿En qué te fijaras?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 ¿Qué tema te gustaría incluir en un afiche propagandístico para trabajar la inclusión en Chile?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Preguntas que consideran el proceso de Metacognición: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¿Consideras que el material audiovisual y/o visual (fotos) te permitió evidenciar los roles y estereotipos de género presentes en la publicidad? ¿Por qué?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Metodologías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Inductiva, individual y dialogal. 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Preguntas que responden a una evaluación formativa durante el cierre de la clase.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Recursos utilizados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PowerPoint (segunda clase), Guía 2 y videos.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2240" w:w="158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24horas.cl/data/las-cifras-de-violencia-contra-la-mujer-en-lo-que-va-de-2020-4349067" TargetMode="External"/><Relationship Id="rId10" Type="http://schemas.openxmlformats.org/officeDocument/2006/relationships/hyperlink" Target="https://www.greenpeace.org/chile/noticia/uncategorized/el-melon-y-su-batalla-por-no-secarse-paltas-y-mineria-los-poderosos-actores-que-dejan-sin-agua-la-zona-central-de-chile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elmostrador.cl/braga/2020/03/26/casos-de-violencia-homofobica-aumentaron-un-58-durante-2019-es-la-cifra-mas-alta-en-la-historia-de-chil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KKCUMLMfUI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t3jhyoPzW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